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4E47" w14:textId="77777777" w:rsidR="001F09C4" w:rsidRDefault="001F09C4" w:rsidP="00BA1D35">
      <w:pPr>
        <w:tabs>
          <w:tab w:val="left" w:pos="975"/>
          <w:tab w:val="right" w:pos="1080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40D6DD72" w14:textId="77777777" w:rsidR="00BA1D35" w:rsidRPr="00555377" w:rsidRDefault="00BA1D35" w:rsidP="00BA1D35">
      <w:pPr>
        <w:tabs>
          <w:tab w:val="left" w:pos="975"/>
          <w:tab w:val="right" w:pos="10800"/>
        </w:tabs>
        <w:jc w:val="right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A32927C" wp14:editId="212A716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3900" cy="857250"/>
            <wp:effectExtent l="0" t="0" r="0" b="0"/>
            <wp:wrapNone/>
            <wp:docPr id="1" name="Picture 1" descr="Markel Logo 2011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el Logo 2011 -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24C6" w14:textId="77777777" w:rsidR="00BA1D35" w:rsidRPr="001661E2" w:rsidRDefault="00BA1D35" w:rsidP="00BA1D35">
      <w:pPr>
        <w:jc w:val="right"/>
        <w:rPr>
          <w:rFonts w:ascii="Arial" w:hAnsi="Arial" w:cs="Arial"/>
          <w:b/>
          <w:color w:val="000000"/>
          <w:szCs w:val="32"/>
        </w:rPr>
      </w:pPr>
    </w:p>
    <w:p w14:paraId="506188E9" w14:textId="77777777" w:rsidR="00553EDE" w:rsidRPr="006B2BAD" w:rsidRDefault="00553EDE" w:rsidP="006B2BAD">
      <w:pPr>
        <w:pStyle w:val="EndoText"/>
        <w:widowControl/>
        <w:suppressAutoHyphens/>
        <w:jc w:val="right"/>
        <w:rPr>
          <w:sz w:val="32"/>
          <w:szCs w:val="28"/>
        </w:rPr>
      </w:pPr>
    </w:p>
    <w:p w14:paraId="48CE2956" w14:textId="77777777" w:rsidR="00060B6B" w:rsidRDefault="00060B6B" w:rsidP="006B2BAD">
      <w:pPr>
        <w:pStyle w:val="EndoText"/>
        <w:widowControl/>
        <w:suppressAutoHyphens/>
        <w:jc w:val="center"/>
        <w:rPr>
          <w:b/>
          <w:sz w:val="32"/>
          <w:szCs w:val="32"/>
        </w:rPr>
      </w:pPr>
    </w:p>
    <w:p w14:paraId="2814A827" w14:textId="77777777" w:rsidR="00B57FDD" w:rsidRPr="006B2BAD" w:rsidRDefault="006B2BAD" w:rsidP="006B2BAD">
      <w:pPr>
        <w:pStyle w:val="EndoText"/>
        <w:widowControl/>
        <w:suppressAutoHyphens/>
        <w:jc w:val="center"/>
        <w:rPr>
          <w:sz w:val="28"/>
          <w:szCs w:val="28"/>
        </w:rPr>
      </w:pPr>
      <w:r w:rsidRPr="006B2BAD">
        <w:rPr>
          <w:b/>
          <w:sz w:val="32"/>
          <w:szCs w:val="32"/>
        </w:rPr>
        <w:t>EVANSTON INSURANCE COMPANY</w:t>
      </w:r>
    </w:p>
    <w:p w14:paraId="3B83A6D3" w14:textId="77777777" w:rsidR="00B57FDD" w:rsidRPr="006B2BAD" w:rsidRDefault="00B57FDD" w:rsidP="006B2BAD">
      <w:pPr>
        <w:pStyle w:val="EndoText"/>
        <w:widowControl/>
        <w:suppressAutoHyphens/>
        <w:jc w:val="both"/>
        <w:rPr>
          <w:szCs w:val="20"/>
        </w:rPr>
      </w:pPr>
    </w:p>
    <w:p w14:paraId="44A3D182" w14:textId="77777777" w:rsidR="00B57FDD" w:rsidRPr="006B2BAD" w:rsidRDefault="00B57FDD" w:rsidP="006B2BAD">
      <w:pPr>
        <w:pStyle w:val="EndoText"/>
        <w:widowControl/>
        <w:suppressAutoHyphens/>
        <w:jc w:val="center"/>
        <w:rPr>
          <w:b/>
          <w:bCs/>
          <w:szCs w:val="20"/>
        </w:rPr>
      </w:pPr>
      <w:r w:rsidRPr="006B2BAD">
        <w:rPr>
          <w:b/>
          <w:bCs/>
          <w:szCs w:val="20"/>
        </w:rPr>
        <w:t>THIS ENDORSEMENT CHANGES THE POLICY. PLEASE READ IT CAREFULLY.</w:t>
      </w:r>
    </w:p>
    <w:p w14:paraId="5BA92E6F" w14:textId="77777777" w:rsidR="00B57FDD" w:rsidRPr="006B2BAD" w:rsidRDefault="00B57FDD" w:rsidP="006B2BAD">
      <w:pPr>
        <w:pStyle w:val="EndoText"/>
        <w:widowControl/>
        <w:suppressAutoHyphens/>
        <w:jc w:val="both"/>
        <w:rPr>
          <w:szCs w:val="20"/>
        </w:rPr>
      </w:pPr>
    </w:p>
    <w:p w14:paraId="046739BC" w14:textId="77777777" w:rsidR="00B57FDD" w:rsidRPr="006B2BAD" w:rsidRDefault="00B57FDD" w:rsidP="006B2BAD">
      <w:pPr>
        <w:pStyle w:val="EndoText"/>
        <w:widowControl/>
        <w:suppressAutoHyphens/>
        <w:jc w:val="center"/>
        <w:rPr>
          <w:b/>
          <w:bCs/>
          <w:caps/>
          <w:color w:val="000000"/>
          <w:sz w:val="28"/>
          <w:szCs w:val="28"/>
        </w:rPr>
      </w:pPr>
      <w:r w:rsidRPr="006B2BAD">
        <w:rPr>
          <w:b/>
          <w:bCs/>
          <w:sz w:val="28"/>
          <w:szCs w:val="28"/>
        </w:rPr>
        <w:t xml:space="preserve">EXCLUSION </w:t>
      </w:r>
      <w:r w:rsidR="006B2BAD" w:rsidRPr="006B2BAD">
        <w:rPr>
          <w:b/>
          <w:bCs/>
          <w:sz w:val="28"/>
          <w:szCs w:val="28"/>
        </w:rPr>
        <w:t>–</w:t>
      </w:r>
      <w:r w:rsidRPr="006B2BAD">
        <w:rPr>
          <w:b/>
          <w:bCs/>
          <w:sz w:val="28"/>
          <w:szCs w:val="28"/>
        </w:rPr>
        <w:t xml:space="preserve"> </w:t>
      </w:r>
      <w:r w:rsidRPr="006B2BAD">
        <w:rPr>
          <w:b/>
          <w:sz w:val="28"/>
          <w:szCs w:val="28"/>
        </w:rPr>
        <w:t>DESIGNATED</w:t>
      </w:r>
      <w:r w:rsidRPr="006B2BAD">
        <w:rPr>
          <w:b/>
          <w:bCs/>
          <w:sz w:val="28"/>
          <w:szCs w:val="28"/>
        </w:rPr>
        <w:t xml:space="preserve"> INGREDIENTS</w:t>
      </w:r>
    </w:p>
    <w:p w14:paraId="071E99DF" w14:textId="77777777" w:rsidR="00C46802" w:rsidRDefault="00C46802" w:rsidP="006B2BAD">
      <w:pPr>
        <w:pStyle w:val="EndoText"/>
        <w:widowControl/>
        <w:suppressAutoHyphens/>
        <w:jc w:val="both"/>
      </w:pPr>
    </w:p>
    <w:p w14:paraId="3C01B8CF" w14:textId="77777777" w:rsidR="00E83512" w:rsidRPr="006B2BAD" w:rsidRDefault="00E83512" w:rsidP="006B2BAD">
      <w:pPr>
        <w:pStyle w:val="EndoText"/>
        <w:widowControl/>
        <w:suppressAutoHyphens/>
        <w:jc w:val="both"/>
      </w:pPr>
    </w:p>
    <w:p w14:paraId="291BAAE7" w14:textId="77777777" w:rsidR="00B57FDD" w:rsidRPr="006B2BAD" w:rsidRDefault="00B57FDD" w:rsidP="006B2BAD">
      <w:pPr>
        <w:pStyle w:val="EndoText"/>
        <w:widowControl/>
        <w:suppressAutoHyphens/>
        <w:jc w:val="both"/>
      </w:pPr>
      <w:r w:rsidRPr="006B2BAD">
        <w:t xml:space="preserve">This endorsement modifies insurance provided under the following: </w:t>
      </w:r>
    </w:p>
    <w:p w14:paraId="25782142" w14:textId="77777777" w:rsidR="00B57FDD" w:rsidRPr="006B2BAD" w:rsidRDefault="00B57FDD" w:rsidP="006B2BAD">
      <w:pPr>
        <w:pStyle w:val="EndoText"/>
        <w:widowControl/>
        <w:suppressAutoHyphens/>
        <w:jc w:val="both"/>
      </w:pPr>
    </w:p>
    <w:p w14:paraId="52BD8802" w14:textId="77777777" w:rsidR="00977927" w:rsidRPr="006B2BAD" w:rsidRDefault="00977927" w:rsidP="00977927">
      <w:pPr>
        <w:pStyle w:val="EndoText"/>
        <w:widowControl/>
        <w:suppressAutoHyphens/>
        <w:jc w:val="both"/>
        <w:rPr>
          <w:b/>
          <w:bCs/>
          <w:color w:val="000000"/>
          <w:sz w:val="19"/>
        </w:rPr>
      </w:pPr>
      <w:r w:rsidRPr="006B2BAD">
        <w:rPr>
          <w:bCs/>
          <w:color w:val="000000"/>
        </w:rPr>
        <w:t>EXCESS LIABILITY INSURANCE POLICY</w:t>
      </w:r>
    </w:p>
    <w:p w14:paraId="09AADDF3" w14:textId="77777777" w:rsidR="00B57FDD" w:rsidRPr="006B2BAD" w:rsidRDefault="00B57FDD" w:rsidP="006B2BAD">
      <w:pPr>
        <w:pStyle w:val="EndoText"/>
        <w:widowControl/>
        <w:suppressAutoHyphens/>
        <w:jc w:val="both"/>
      </w:pPr>
      <w:r w:rsidRPr="006B2BAD">
        <w:t>GENERAL LIABILITY (INCLUDING PRODUCTS AND COMPLETED OPERATIONS LIABILITY) INSURANCE POLICY</w:t>
      </w:r>
    </w:p>
    <w:p w14:paraId="7F526847" w14:textId="77777777" w:rsidR="00977927" w:rsidRPr="006B2BAD" w:rsidRDefault="00977927" w:rsidP="00977927">
      <w:pPr>
        <w:pStyle w:val="EndoText"/>
        <w:widowControl/>
        <w:suppressAutoHyphens/>
        <w:jc w:val="both"/>
      </w:pPr>
      <w:r w:rsidRPr="006B2BAD">
        <w:t>SPECIFIED PRODUCTS AND COMPLETED OPERATIONS INSURANCE POLICY</w:t>
      </w:r>
    </w:p>
    <w:p w14:paraId="61506F33" w14:textId="77777777" w:rsidR="00C46802" w:rsidRDefault="00C46802" w:rsidP="006B2BAD">
      <w:pPr>
        <w:pStyle w:val="EndoText"/>
        <w:widowControl/>
        <w:suppressAutoHyphens/>
        <w:jc w:val="both"/>
      </w:pPr>
    </w:p>
    <w:p w14:paraId="65C6D9AE" w14:textId="77777777" w:rsidR="00E83512" w:rsidRPr="006B2BAD" w:rsidRDefault="00E83512" w:rsidP="006B2BAD">
      <w:pPr>
        <w:pStyle w:val="EndoText"/>
        <w:widowControl/>
        <w:suppressAutoHyphens/>
        <w:jc w:val="both"/>
      </w:pPr>
    </w:p>
    <w:p w14:paraId="1899E678" w14:textId="77777777" w:rsidR="00C46802" w:rsidRDefault="00C46802" w:rsidP="006B2BAD">
      <w:pPr>
        <w:pStyle w:val="EndoText"/>
        <w:widowControl/>
        <w:suppressAutoHyphens/>
        <w:spacing w:after="120"/>
        <w:jc w:val="both"/>
      </w:pPr>
      <w:r>
        <w:t>The following exclusion is added:</w:t>
      </w:r>
    </w:p>
    <w:p w14:paraId="632B3F8A" w14:textId="19AB6331" w:rsidR="00B57FDD" w:rsidRDefault="00B57FDD" w:rsidP="006B2BAD">
      <w:pPr>
        <w:pStyle w:val="EndoText"/>
        <w:widowControl/>
        <w:suppressAutoHyphens/>
        <w:spacing w:after="120"/>
        <w:jc w:val="both"/>
      </w:pPr>
      <w:r>
        <w:t>This insurance does not apply to claims</w:t>
      </w:r>
      <w:r w:rsidR="00B268A0">
        <w:t xml:space="preserve"> based upon,</w:t>
      </w:r>
      <w:r>
        <w:t xml:space="preserve"> arising </w:t>
      </w:r>
      <w:r w:rsidR="00B268A0">
        <w:t xml:space="preserve">out of, or in any way involving </w:t>
      </w:r>
      <w:r>
        <w:t xml:space="preserve">the </w:t>
      </w:r>
      <w:r w:rsidR="00B268A0">
        <w:t xml:space="preserve">actual or alleged </w:t>
      </w:r>
      <w:r>
        <w:t>importation, manufacture, distribution, sale, use</w:t>
      </w:r>
      <w:r w:rsidR="00D136E6">
        <w:t>,</w:t>
      </w:r>
      <w:r>
        <w:t xml:space="preserve"> or ingestion of </w:t>
      </w:r>
      <w:r w:rsidR="00D136E6">
        <w:t xml:space="preserve">any </w:t>
      </w:r>
      <w:r w:rsidR="00EA0C9E">
        <w:t xml:space="preserve">of </w:t>
      </w:r>
      <w:r>
        <w:t>the following</w:t>
      </w:r>
      <w:r w:rsidR="00EA0C9E">
        <w:t xml:space="preserve"> ingredients</w:t>
      </w:r>
      <w:r>
        <w:t>:</w:t>
      </w:r>
    </w:p>
    <w:p w14:paraId="0D3188F2" w14:textId="5F0916A8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1.</w:t>
      </w:r>
      <w:r>
        <w:tab/>
        <w:t>Germander.</w:t>
      </w:r>
    </w:p>
    <w:p w14:paraId="405F7066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2.</w:t>
      </w:r>
      <w:r>
        <w:rPr>
          <w:b/>
        </w:rPr>
        <w:tab/>
      </w:r>
      <w:r>
        <w:t>Lobelia.</w:t>
      </w:r>
    </w:p>
    <w:p w14:paraId="2867D3A5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3.</w:t>
      </w:r>
      <w:r>
        <w:rPr>
          <w:b/>
        </w:rPr>
        <w:tab/>
      </w:r>
      <w:proofErr w:type="spellStart"/>
      <w:r>
        <w:t>Yohimbe</w:t>
      </w:r>
      <w:proofErr w:type="spellEnd"/>
      <w:r>
        <w:t>.</w:t>
      </w:r>
    </w:p>
    <w:p w14:paraId="322F2B92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4.</w:t>
      </w:r>
      <w:r>
        <w:rPr>
          <w:b/>
        </w:rPr>
        <w:tab/>
      </w:r>
      <w:proofErr w:type="spellStart"/>
      <w:r>
        <w:t>Jin</w:t>
      </w:r>
      <w:proofErr w:type="spellEnd"/>
      <w:r>
        <w:t xml:space="preserve"> Bu </w:t>
      </w:r>
      <w:proofErr w:type="spellStart"/>
      <w:r w:rsidR="00757945">
        <w:t>Huan</w:t>
      </w:r>
      <w:proofErr w:type="spellEnd"/>
      <w:r>
        <w:t>.</w:t>
      </w:r>
    </w:p>
    <w:p w14:paraId="56A75695" w14:textId="78FA7548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5.</w:t>
      </w:r>
      <w:r>
        <w:rPr>
          <w:b/>
        </w:rPr>
        <w:tab/>
      </w:r>
      <w:r>
        <w:t>Gamma</w:t>
      </w:r>
      <w:r w:rsidR="00757945">
        <w:t>-</w:t>
      </w:r>
      <w:proofErr w:type="spellStart"/>
      <w:r>
        <w:t>Hydroxy</w:t>
      </w:r>
      <w:r w:rsidR="00757945">
        <w:t>b</w:t>
      </w:r>
      <w:r>
        <w:t>ut</w:t>
      </w:r>
      <w:r w:rsidR="006663D6">
        <w:t>y</w:t>
      </w:r>
      <w:r>
        <w:t>rate</w:t>
      </w:r>
      <w:proofErr w:type="spellEnd"/>
      <w:r>
        <w:t xml:space="preserve"> (GHB)</w:t>
      </w:r>
      <w:r w:rsidR="00194F89">
        <w:t>,</w:t>
      </w:r>
      <w:r>
        <w:t xml:space="preserve"> Gamma </w:t>
      </w:r>
      <w:proofErr w:type="spellStart"/>
      <w:r>
        <w:t>Butyr</w:t>
      </w:r>
      <w:r w:rsidR="00757945">
        <w:t>olactone</w:t>
      </w:r>
      <w:proofErr w:type="spellEnd"/>
      <w:r>
        <w:t xml:space="preserve"> (GBL)</w:t>
      </w:r>
      <w:r w:rsidR="00194F89">
        <w:t>, or</w:t>
      </w:r>
      <w:r>
        <w:t xml:space="preserve"> 1</w:t>
      </w:r>
      <w:proofErr w:type="gramStart"/>
      <w:r>
        <w:t>,4</w:t>
      </w:r>
      <w:proofErr w:type="gramEnd"/>
      <w:r>
        <w:t xml:space="preserve"> </w:t>
      </w:r>
      <w:proofErr w:type="spellStart"/>
      <w:r>
        <w:t>Butanediol</w:t>
      </w:r>
      <w:proofErr w:type="spellEnd"/>
      <w:r>
        <w:t xml:space="preserve"> (BD).</w:t>
      </w:r>
    </w:p>
    <w:p w14:paraId="6CB16419" w14:textId="04F538FF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6.</w:t>
      </w:r>
      <w:r>
        <w:tab/>
        <w:t xml:space="preserve">Ephedra </w:t>
      </w:r>
      <w:proofErr w:type="spellStart"/>
      <w:r>
        <w:t>sinica</w:t>
      </w:r>
      <w:proofErr w:type="spellEnd"/>
      <w:r>
        <w:t>, Ephedra</w:t>
      </w:r>
      <w:r w:rsidR="006663D6">
        <w:t>,</w:t>
      </w:r>
      <w:r>
        <w:t xml:space="preserve"> E. </w:t>
      </w:r>
      <w:proofErr w:type="spellStart"/>
      <w:r>
        <w:t>equisetina</w:t>
      </w:r>
      <w:proofErr w:type="spellEnd"/>
      <w:r>
        <w:t>, Ma</w:t>
      </w:r>
      <w:r w:rsidR="00757945">
        <w:t xml:space="preserve"> H</w:t>
      </w:r>
      <w:r>
        <w:t xml:space="preserve">uang, Ephedra Alkaloid, Pseudoephedrine, </w:t>
      </w:r>
      <w:r w:rsidR="00BB35E1">
        <w:t xml:space="preserve">or </w:t>
      </w:r>
      <w:r>
        <w:t>Ephedrine.</w:t>
      </w:r>
    </w:p>
    <w:p w14:paraId="6C5A0858" w14:textId="425A8B9D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7.</w:t>
      </w:r>
      <w:r>
        <w:tab/>
      </w:r>
      <w:proofErr w:type="spellStart"/>
      <w:r>
        <w:t>Aristolochia</w:t>
      </w:r>
      <w:proofErr w:type="spellEnd"/>
      <w:r>
        <w:t xml:space="preserve"> spp., </w:t>
      </w:r>
      <w:proofErr w:type="spellStart"/>
      <w:r>
        <w:t>Aristolochia</w:t>
      </w:r>
      <w:proofErr w:type="spellEnd"/>
      <w:r>
        <w:t xml:space="preserve">, </w:t>
      </w:r>
      <w:proofErr w:type="spellStart"/>
      <w:r>
        <w:t>Aristolochic</w:t>
      </w:r>
      <w:proofErr w:type="spellEnd"/>
      <w:r>
        <w:t xml:space="preserve"> acids, </w:t>
      </w:r>
      <w:proofErr w:type="spellStart"/>
      <w:r>
        <w:t>Aristolochia</w:t>
      </w:r>
      <w:proofErr w:type="spellEnd"/>
      <w:r>
        <w:t xml:space="preserve"> </w:t>
      </w:r>
      <w:proofErr w:type="spellStart"/>
      <w:r>
        <w:t>fangchi</w:t>
      </w:r>
      <w:proofErr w:type="spellEnd"/>
      <w:r>
        <w:t xml:space="preserve">, </w:t>
      </w:r>
      <w:proofErr w:type="spellStart"/>
      <w:r>
        <w:t>Asarum</w:t>
      </w:r>
      <w:proofErr w:type="spellEnd"/>
      <w:r>
        <w:t xml:space="preserve"> spp., </w:t>
      </w:r>
      <w:proofErr w:type="spellStart"/>
      <w:r>
        <w:t>Bragantia</w:t>
      </w:r>
      <w:proofErr w:type="spellEnd"/>
      <w:r>
        <w:t xml:space="preserve"> spp., Clematis spp., </w:t>
      </w:r>
      <w:proofErr w:type="spellStart"/>
      <w:r>
        <w:t>Akebia</w:t>
      </w:r>
      <w:proofErr w:type="spellEnd"/>
      <w:r>
        <w:t xml:space="preserve"> spp., </w:t>
      </w:r>
      <w:proofErr w:type="spellStart"/>
      <w:r>
        <w:t>Cocculus</w:t>
      </w:r>
      <w:proofErr w:type="spellEnd"/>
      <w:r>
        <w:t xml:space="preserve"> spp., </w:t>
      </w:r>
      <w:proofErr w:type="spellStart"/>
      <w:r>
        <w:t>Diploclisia</w:t>
      </w:r>
      <w:proofErr w:type="spellEnd"/>
      <w:r>
        <w:t xml:space="preserve"> spp., </w:t>
      </w:r>
      <w:proofErr w:type="spellStart"/>
      <w:r>
        <w:t>Menispernum</w:t>
      </w:r>
      <w:proofErr w:type="spellEnd"/>
      <w:r>
        <w:t xml:space="preserve"> spp., </w:t>
      </w:r>
      <w:proofErr w:type="spellStart"/>
      <w:r>
        <w:t>Sinomenium</w:t>
      </w:r>
      <w:proofErr w:type="spellEnd"/>
      <w:r>
        <w:t xml:space="preserve"> spp., Mu Tong, Fang </w:t>
      </w:r>
      <w:r w:rsidR="00757945">
        <w:t>J</w:t>
      </w:r>
      <w:r>
        <w:t xml:space="preserve">i, </w:t>
      </w:r>
      <w:proofErr w:type="spellStart"/>
      <w:r>
        <w:t>Guang</w:t>
      </w:r>
      <w:proofErr w:type="spellEnd"/>
      <w:r>
        <w:t xml:space="preserve"> </w:t>
      </w:r>
      <w:r w:rsidR="00757945">
        <w:t>F</w:t>
      </w:r>
      <w:r>
        <w:t xml:space="preserve">ang </w:t>
      </w:r>
      <w:r w:rsidR="00757945">
        <w:t>J</w:t>
      </w:r>
      <w:r>
        <w:t xml:space="preserve">i, Fang Chi, </w:t>
      </w:r>
      <w:proofErr w:type="spellStart"/>
      <w:r>
        <w:t>Kan-Mokutsu</w:t>
      </w:r>
      <w:proofErr w:type="spellEnd"/>
      <w:r>
        <w:t xml:space="preserve">, </w:t>
      </w:r>
      <w:proofErr w:type="spellStart"/>
      <w:r>
        <w:t>Mokutsu</w:t>
      </w:r>
      <w:proofErr w:type="spellEnd"/>
      <w:r w:rsidR="00194F89">
        <w:t>,</w:t>
      </w:r>
      <w:r>
        <w:t xml:space="preserve"> </w:t>
      </w:r>
      <w:r w:rsidR="00757945">
        <w:t xml:space="preserve">or </w:t>
      </w:r>
      <w:r>
        <w:t>any adulterated botanicals.</w:t>
      </w:r>
    </w:p>
    <w:p w14:paraId="54FEFC26" w14:textId="478AE585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8.</w:t>
      </w:r>
      <w:r>
        <w:rPr>
          <w:b/>
        </w:rPr>
        <w:tab/>
      </w:r>
      <w:proofErr w:type="spellStart"/>
      <w:r>
        <w:t>Stephania</w:t>
      </w:r>
      <w:proofErr w:type="spellEnd"/>
      <w:r>
        <w:t xml:space="preserve">, </w:t>
      </w:r>
      <w:proofErr w:type="spellStart"/>
      <w:r>
        <w:t>Stephania</w:t>
      </w:r>
      <w:proofErr w:type="spellEnd"/>
      <w:r>
        <w:t xml:space="preserve"> </w:t>
      </w:r>
      <w:proofErr w:type="spellStart"/>
      <w:r>
        <w:t>spp</w:t>
      </w:r>
      <w:proofErr w:type="spellEnd"/>
      <w:r>
        <w:t>, or any adulterated botanicals.</w:t>
      </w:r>
    </w:p>
    <w:p w14:paraId="551C1219" w14:textId="5039CAC8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9.</w:t>
      </w:r>
      <w:r>
        <w:rPr>
          <w:b/>
        </w:rPr>
        <w:tab/>
      </w:r>
      <w:r>
        <w:t>Magnolia, or any adulterated botanicals.</w:t>
      </w:r>
    </w:p>
    <w:p w14:paraId="30EF302F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10.</w:t>
      </w:r>
      <w:r>
        <w:rPr>
          <w:b/>
        </w:rPr>
        <w:tab/>
      </w:r>
      <w:r>
        <w:t xml:space="preserve">Kava, </w:t>
      </w:r>
      <w:proofErr w:type="gramStart"/>
      <w:r>
        <w:t>ava</w:t>
      </w:r>
      <w:proofErr w:type="gramEnd"/>
      <w:r>
        <w:t xml:space="preserve">, ava pepper, </w:t>
      </w:r>
      <w:proofErr w:type="spellStart"/>
      <w:r>
        <w:t>awa</w:t>
      </w:r>
      <w:proofErr w:type="spellEnd"/>
      <w:r>
        <w:t xml:space="preserve">, kava root, kava-kava, </w:t>
      </w:r>
      <w:proofErr w:type="spellStart"/>
      <w:r>
        <w:t>kawa</w:t>
      </w:r>
      <w:proofErr w:type="spellEnd"/>
      <w:r>
        <w:t xml:space="preserve">, Piper </w:t>
      </w:r>
      <w:proofErr w:type="spellStart"/>
      <w:r>
        <w:t>methysticum</w:t>
      </w:r>
      <w:proofErr w:type="spellEnd"/>
      <w:r>
        <w:t xml:space="preserve"> </w:t>
      </w:r>
      <w:proofErr w:type="spellStart"/>
      <w:r>
        <w:t>Forst</w:t>
      </w:r>
      <w:proofErr w:type="spellEnd"/>
      <w:r>
        <w:t xml:space="preserve">. f., Piper </w:t>
      </w:r>
      <w:proofErr w:type="spellStart"/>
      <w:r w:rsidR="00757945">
        <w:t>m</w:t>
      </w:r>
      <w:r>
        <w:t>ethysticum</w:t>
      </w:r>
      <w:proofErr w:type="spellEnd"/>
      <w:r>
        <w:t xml:space="preserve"> G. </w:t>
      </w:r>
      <w:proofErr w:type="spellStart"/>
      <w:r>
        <w:t>Forst</w:t>
      </w:r>
      <w:proofErr w:type="spellEnd"/>
      <w:r>
        <w:t xml:space="preserve">, </w:t>
      </w:r>
      <w:proofErr w:type="spellStart"/>
      <w:r w:rsidR="00757945">
        <w:t>R</w:t>
      </w:r>
      <w:r>
        <w:t>auschpfeffer</w:t>
      </w:r>
      <w:proofErr w:type="spellEnd"/>
      <w:r>
        <w:t xml:space="preserve">, intoxicating pepper, kava </w:t>
      </w:r>
      <w:proofErr w:type="spellStart"/>
      <w:r>
        <w:t>kava</w:t>
      </w:r>
      <w:proofErr w:type="spellEnd"/>
      <w:r>
        <w:t xml:space="preserve">, kava pepper, </w:t>
      </w:r>
      <w:proofErr w:type="spellStart"/>
      <w:r>
        <w:t>kawa</w:t>
      </w:r>
      <w:proofErr w:type="spellEnd"/>
      <w:r>
        <w:t xml:space="preserve"> </w:t>
      </w:r>
      <w:proofErr w:type="spellStart"/>
      <w:r>
        <w:t>kawa</w:t>
      </w:r>
      <w:proofErr w:type="spellEnd"/>
      <w:r>
        <w:t xml:space="preserve">, </w:t>
      </w:r>
      <w:proofErr w:type="spellStart"/>
      <w:r>
        <w:t>kawa-kawa</w:t>
      </w:r>
      <w:proofErr w:type="spellEnd"/>
      <w:r>
        <w:t xml:space="preserve">, </w:t>
      </w:r>
      <w:proofErr w:type="spellStart"/>
      <w:proofErr w:type="gramStart"/>
      <w:r>
        <w:t>kew</w:t>
      </w:r>
      <w:proofErr w:type="spellEnd"/>
      <w:proofErr w:type="gramEnd"/>
      <w:r>
        <w:t xml:space="preserve">, Piper </w:t>
      </w:r>
      <w:proofErr w:type="spellStart"/>
      <w:r>
        <w:t>methysticum</w:t>
      </w:r>
      <w:proofErr w:type="spellEnd"/>
      <w:r>
        <w:t>,</w:t>
      </w:r>
      <w:r>
        <w:rPr>
          <w:i/>
          <w:iCs/>
        </w:rPr>
        <w:t xml:space="preserve"> </w:t>
      </w:r>
      <w:proofErr w:type="spellStart"/>
      <w:r>
        <w:t>sakau</w:t>
      </w:r>
      <w:proofErr w:type="spellEnd"/>
      <w:r>
        <w:t xml:space="preserve">, </w:t>
      </w:r>
      <w:proofErr w:type="spellStart"/>
      <w:r>
        <w:t>tonga</w:t>
      </w:r>
      <w:proofErr w:type="spellEnd"/>
      <w:r>
        <w:t xml:space="preserve">, </w:t>
      </w:r>
      <w:proofErr w:type="spellStart"/>
      <w:r>
        <w:t>wurzelstock</w:t>
      </w:r>
      <w:proofErr w:type="spellEnd"/>
      <w:r>
        <w:t xml:space="preserve">, </w:t>
      </w:r>
      <w:r w:rsidR="00194F89">
        <w:t xml:space="preserve">or </w:t>
      </w:r>
      <w:proofErr w:type="spellStart"/>
      <w:r>
        <w:t>yangona</w:t>
      </w:r>
      <w:proofErr w:type="spellEnd"/>
      <w:r>
        <w:t>.</w:t>
      </w:r>
    </w:p>
    <w:p w14:paraId="63185284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11.</w:t>
      </w:r>
      <w:r>
        <w:tab/>
        <w:t xml:space="preserve">Glyburide, unlabeled glyburide, </w:t>
      </w:r>
      <w:proofErr w:type="spellStart"/>
      <w:r>
        <w:t>Liqiang</w:t>
      </w:r>
      <w:proofErr w:type="spellEnd"/>
      <w:r>
        <w:t xml:space="preserve"> 4, </w:t>
      </w:r>
      <w:r w:rsidR="00194F89">
        <w:t xml:space="preserve">or </w:t>
      </w:r>
      <w:proofErr w:type="spellStart"/>
      <w:r>
        <w:t>Liqiang</w:t>
      </w:r>
      <w:proofErr w:type="spellEnd"/>
      <w:r>
        <w:t xml:space="preserve"> Xiao </w:t>
      </w:r>
      <w:proofErr w:type="spellStart"/>
      <w:r>
        <w:t>Ke</w:t>
      </w:r>
      <w:proofErr w:type="spellEnd"/>
      <w:r>
        <w:t xml:space="preserve"> Ling (</w:t>
      </w:r>
      <w:proofErr w:type="spellStart"/>
      <w:r>
        <w:t>Liqiang</w:t>
      </w:r>
      <w:proofErr w:type="spellEnd"/>
      <w:r>
        <w:t xml:space="preserve"> Thirst Quenching Efficacious).</w:t>
      </w:r>
    </w:p>
    <w:p w14:paraId="37226AD2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12.</w:t>
      </w:r>
      <w:r>
        <w:tab/>
      </w:r>
      <w:proofErr w:type="spellStart"/>
      <w:r>
        <w:t>Bismacine</w:t>
      </w:r>
      <w:proofErr w:type="spellEnd"/>
      <w:r>
        <w:t xml:space="preserve">, also known as </w:t>
      </w:r>
      <w:proofErr w:type="spellStart"/>
      <w:r>
        <w:t>Chromacine</w:t>
      </w:r>
      <w:proofErr w:type="spellEnd"/>
      <w:r>
        <w:t>.</w:t>
      </w:r>
    </w:p>
    <w:p w14:paraId="3E68BE19" w14:textId="77777777" w:rsidR="00B57FDD" w:rsidRDefault="00B57FDD" w:rsidP="006B2BAD">
      <w:pPr>
        <w:pStyle w:val="EndoText"/>
        <w:widowControl/>
        <w:suppressAutoHyphens/>
        <w:spacing w:after="120"/>
        <w:ind w:left="360" w:hanging="360"/>
        <w:jc w:val="both"/>
      </w:pPr>
      <w:r w:rsidRPr="002E6DEF">
        <w:rPr>
          <w:b/>
        </w:rPr>
        <w:t>13.</w:t>
      </w:r>
      <w:r w:rsidRPr="002E6DEF">
        <w:tab/>
        <w:t>DMAA</w:t>
      </w:r>
      <w:r w:rsidR="00194F89">
        <w:t>,</w:t>
      </w:r>
      <w:r w:rsidRPr="002E6DEF">
        <w:t xml:space="preserve"> </w:t>
      </w:r>
      <w:proofErr w:type="spellStart"/>
      <w:r w:rsidRPr="002E6DEF">
        <w:t>dimethylamylamine</w:t>
      </w:r>
      <w:proofErr w:type="spellEnd"/>
      <w:r w:rsidR="00194F89">
        <w:t>,</w:t>
      </w:r>
      <w:r w:rsidR="00B31880" w:rsidRPr="002E6DEF">
        <w:t xml:space="preserve"> </w:t>
      </w:r>
      <w:r w:rsidR="00B31880" w:rsidRPr="002E6DEF">
        <w:rPr>
          <w:lang w:val="en"/>
        </w:rPr>
        <w:t>AMP Citrate</w:t>
      </w:r>
      <w:r w:rsidR="00194F89">
        <w:rPr>
          <w:lang w:val="en"/>
        </w:rPr>
        <w:t>,</w:t>
      </w:r>
      <w:r w:rsidR="00B31880" w:rsidRPr="002E6DEF">
        <w:rPr>
          <w:lang w:val="en"/>
        </w:rPr>
        <w:t xml:space="preserve"> DMBA</w:t>
      </w:r>
      <w:r w:rsidR="00194F89">
        <w:rPr>
          <w:lang w:val="en"/>
        </w:rPr>
        <w:t>,</w:t>
      </w:r>
      <w:r w:rsidR="00B31880" w:rsidRPr="002E6DEF">
        <w:rPr>
          <w:lang w:val="en"/>
        </w:rPr>
        <w:t xml:space="preserve"> </w:t>
      </w:r>
      <w:r w:rsidR="00194F89">
        <w:rPr>
          <w:lang w:val="en"/>
        </w:rPr>
        <w:t>or</w:t>
      </w:r>
      <w:r w:rsidR="00B31880" w:rsidRPr="002E6DEF">
        <w:rPr>
          <w:lang w:val="en"/>
        </w:rPr>
        <w:t xml:space="preserve"> 4-amino-2-methylpentane citrate</w:t>
      </w:r>
      <w:r w:rsidRPr="002E6DEF">
        <w:t>.</w:t>
      </w:r>
    </w:p>
    <w:p w14:paraId="5351ADAE" w14:textId="77777777" w:rsidR="00982C29" w:rsidRPr="00982C29" w:rsidRDefault="00982C29" w:rsidP="006B2BAD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14.</w:t>
      </w:r>
      <w:r>
        <w:rPr>
          <w:b/>
        </w:rPr>
        <w:tab/>
      </w:r>
      <w:r w:rsidRPr="00982C29">
        <w:t xml:space="preserve">Selective Androgen Receptor Modulators </w:t>
      </w:r>
      <w:r>
        <w:t>(SARMS).</w:t>
      </w:r>
    </w:p>
    <w:p w14:paraId="7F80DBED" w14:textId="381B9523" w:rsidR="00553EDE" w:rsidRPr="000B3D4B" w:rsidRDefault="00553EDE" w:rsidP="006B2BAD">
      <w:pPr>
        <w:pStyle w:val="EndoText"/>
        <w:widowControl/>
        <w:suppressAutoHyphens/>
        <w:spacing w:after="120"/>
        <w:ind w:left="360" w:hanging="360"/>
        <w:jc w:val="both"/>
      </w:pPr>
      <w:r w:rsidRPr="000B3D4B">
        <w:rPr>
          <w:b/>
        </w:rPr>
        <w:t>1</w:t>
      </w:r>
      <w:r w:rsidR="00982C29">
        <w:rPr>
          <w:b/>
        </w:rPr>
        <w:t>5</w:t>
      </w:r>
      <w:r w:rsidRPr="000B3D4B">
        <w:rPr>
          <w:b/>
        </w:rPr>
        <w:t>.</w:t>
      </w:r>
      <w:r w:rsidRPr="000B3D4B">
        <w:tab/>
      </w:r>
      <w:proofErr w:type="spellStart"/>
      <w:r w:rsidRPr="000B3D4B">
        <w:t>Kratom</w:t>
      </w:r>
      <w:proofErr w:type="spellEnd"/>
      <w:r w:rsidRPr="000B3D4B">
        <w:t xml:space="preserve">, </w:t>
      </w:r>
      <w:proofErr w:type="spellStart"/>
      <w:r w:rsidRPr="000B3D4B">
        <w:rPr>
          <w:bCs/>
          <w:iCs/>
        </w:rPr>
        <w:t>Mitragyna</w:t>
      </w:r>
      <w:proofErr w:type="spellEnd"/>
      <w:r w:rsidRPr="000B3D4B">
        <w:rPr>
          <w:bCs/>
          <w:iCs/>
        </w:rPr>
        <w:t xml:space="preserve"> </w:t>
      </w:r>
      <w:proofErr w:type="spellStart"/>
      <w:r w:rsidRPr="000B3D4B">
        <w:rPr>
          <w:bCs/>
          <w:iCs/>
        </w:rPr>
        <w:t>speciosa</w:t>
      </w:r>
      <w:proofErr w:type="spellEnd"/>
      <w:r w:rsidRPr="000B3D4B">
        <w:rPr>
          <w:bCs/>
          <w:iCs/>
        </w:rPr>
        <w:t xml:space="preserve">, </w:t>
      </w:r>
      <w:proofErr w:type="spellStart"/>
      <w:r w:rsidRPr="000B3D4B">
        <w:t>mitragynine</w:t>
      </w:r>
      <w:proofErr w:type="spellEnd"/>
      <w:r w:rsidRPr="000B3D4B">
        <w:t xml:space="preserve"> extract, </w:t>
      </w:r>
      <w:proofErr w:type="spellStart"/>
      <w:r w:rsidRPr="000B3D4B">
        <w:t>biak-biak</w:t>
      </w:r>
      <w:proofErr w:type="spellEnd"/>
      <w:r w:rsidRPr="000B3D4B">
        <w:t xml:space="preserve">, </w:t>
      </w:r>
      <w:proofErr w:type="spellStart"/>
      <w:r w:rsidRPr="000B3D4B">
        <w:t>cratom</w:t>
      </w:r>
      <w:proofErr w:type="spellEnd"/>
      <w:r w:rsidRPr="000B3D4B">
        <w:t xml:space="preserve">, </w:t>
      </w:r>
      <w:proofErr w:type="spellStart"/>
      <w:r w:rsidRPr="000B3D4B">
        <w:t>gratom</w:t>
      </w:r>
      <w:proofErr w:type="spellEnd"/>
      <w:r w:rsidRPr="000B3D4B">
        <w:t xml:space="preserve">, </w:t>
      </w:r>
      <w:proofErr w:type="spellStart"/>
      <w:r w:rsidRPr="000B3D4B">
        <w:t>ithang</w:t>
      </w:r>
      <w:proofErr w:type="spellEnd"/>
      <w:r w:rsidRPr="000B3D4B">
        <w:t xml:space="preserve">, </w:t>
      </w:r>
      <w:proofErr w:type="spellStart"/>
      <w:r w:rsidRPr="000B3D4B">
        <w:t>kakuam</w:t>
      </w:r>
      <w:proofErr w:type="spellEnd"/>
      <w:r w:rsidRPr="000B3D4B">
        <w:t xml:space="preserve">, </w:t>
      </w:r>
      <w:proofErr w:type="spellStart"/>
      <w:r w:rsidRPr="000B3D4B">
        <w:t>katawn</w:t>
      </w:r>
      <w:proofErr w:type="spellEnd"/>
      <w:r w:rsidRPr="000B3D4B">
        <w:t xml:space="preserve">, </w:t>
      </w:r>
      <w:proofErr w:type="spellStart"/>
      <w:r w:rsidRPr="000B3D4B">
        <w:t>kedemba</w:t>
      </w:r>
      <w:proofErr w:type="spellEnd"/>
      <w:r w:rsidRPr="000B3D4B">
        <w:t xml:space="preserve">, </w:t>
      </w:r>
      <w:proofErr w:type="spellStart"/>
      <w:r w:rsidRPr="000B3D4B">
        <w:t>ketum</w:t>
      </w:r>
      <w:proofErr w:type="spellEnd"/>
      <w:r w:rsidRPr="000B3D4B">
        <w:t xml:space="preserve">, </w:t>
      </w:r>
      <w:proofErr w:type="spellStart"/>
      <w:r w:rsidRPr="000B3D4B">
        <w:t>krathom</w:t>
      </w:r>
      <w:proofErr w:type="spellEnd"/>
      <w:r w:rsidRPr="000B3D4B">
        <w:t xml:space="preserve">, </w:t>
      </w:r>
      <w:proofErr w:type="spellStart"/>
      <w:r w:rsidRPr="000B3D4B">
        <w:t>krton</w:t>
      </w:r>
      <w:proofErr w:type="spellEnd"/>
      <w:r w:rsidRPr="000B3D4B">
        <w:t xml:space="preserve">, </w:t>
      </w:r>
      <w:proofErr w:type="spellStart"/>
      <w:r w:rsidRPr="000B3D4B">
        <w:t>mambog</w:t>
      </w:r>
      <w:proofErr w:type="spellEnd"/>
      <w:r w:rsidRPr="000B3D4B">
        <w:t xml:space="preserve">, </w:t>
      </w:r>
      <w:proofErr w:type="spellStart"/>
      <w:r w:rsidRPr="000B3D4B">
        <w:t>madat</w:t>
      </w:r>
      <w:proofErr w:type="spellEnd"/>
      <w:r w:rsidRPr="000B3D4B">
        <w:t xml:space="preserve">, </w:t>
      </w:r>
      <w:proofErr w:type="spellStart"/>
      <w:r w:rsidRPr="000B3D4B">
        <w:t>Maeng</w:t>
      </w:r>
      <w:proofErr w:type="spellEnd"/>
      <w:r w:rsidRPr="000B3D4B">
        <w:t xml:space="preserve"> da leaf, </w:t>
      </w:r>
      <w:proofErr w:type="spellStart"/>
      <w:r w:rsidRPr="000B3D4B">
        <w:t>nauclea</w:t>
      </w:r>
      <w:proofErr w:type="spellEnd"/>
      <w:r w:rsidRPr="000B3D4B">
        <w:t xml:space="preserve">, </w:t>
      </w:r>
      <w:proofErr w:type="spellStart"/>
      <w:r w:rsidRPr="000B3D4B">
        <w:t>Nauclea</w:t>
      </w:r>
      <w:proofErr w:type="spellEnd"/>
      <w:r w:rsidRPr="000B3D4B">
        <w:t xml:space="preserve"> </w:t>
      </w:r>
      <w:proofErr w:type="spellStart"/>
      <w:r w:rsidRPr="000B3D4B">
        <w:t>speciosa</w:t>
      </w:r>
      <w:proofErr w:type="spellEnd"/>
      <w:r w:rsidRPr="000B3D4B">
        <w:t xml:space="preserve">, </w:t>
      </w:r>
      <w:r w:rsidR="007A1C2B">
        <w:t xml:space="preserve">or </w:t>
      </w:r>
      <w:r w:rsidRPr="000B3D4B">
        <w:t>thang, either in natural or synthetic form or any alkaloids.</w:t>
      </w:r>
    </w:p>
    <w:p w14:paraId="0D820CA2" w14:textId="21A069A4" w:rsidR="00E83512" w:rsidRPr="00E25C82" w:rsidRDefault="00E83512" w:rsidP="00E83512">
      <w:pPr>
        <w:pStyle w:val="EndoText"/>
        <w:widowControl/>
        <w:suppressAutoHyphens/>
        <w:spacing w:after="120"/>
        <w:ind w:left="360" w:hanging="360"/>
        <w:jc w:val="both"/>
        <w:rPr>
          <w:szCs w:val="20"/>
        </w:rPr>
      </w:pPr>
      <w:r w:rsidRPr="00E25C82">
        <w:rPr>
          <w:b/>
          <w:szCs w:val="20"/>
        </w:rPr>
        <w:t>1</w:t>
      </w:r>
      <w:r w:rsidR="00982C29">
        <w:rPr>
          <w:b/>
          <w:szCs w:val="20"/>
        </w:rPr>
        <w:t>6</w:t>
      </w:r>
      <w:r w:rsidRPr="00E25C82">
        <w:rPr>
          <w:b/>
          <w:szCs w:val="20"/>
        </w:rPr>
        <w:t>.</w:t>
      </w:r>
      <w:r w:rsidRPr="00E25C82">
        <w:rPr>
          <w:b/>
          <w:szCs w:val="20"/>
        </w:rPr>
        <w:tab/>
      </w:r>
      <w:proofErr w:type="spellStart"/>
      <w:r w:rsidRPr="00E25C82">
        <w:rPr>
          <w:szCs w:val="20"/>
        </w:rPr>
        <w:t>Phenibut</w:t>
      </w:r>
      <w:proofErr w:type="spellEnd"/>
      <w:r w:rsidRPr="00E25C82">
        <w:rPr>
          <w:szCs w:val="20"/>
        </w:rPr>
        <w:t xml:space="preserve">, </w:t>
      </w:r>
      <w:proofErr w:type="spellStart"/>
      <w:r>
        <w:rPr>
          <w:szCs w:val="20"/>
        </w:rPr>
        <w:t>a</w:t>
      </w:r>
      <w:r w:rsidRPr="00E25C82">
        <w:rPr>
          <w:szCs w:val="20"/>
        </w:rPr>
        <w:t>minophenylbutyric</w:t>
      </w:r>
      <w:proofErr w:type="spellEnd"/>
      <w:r w:rsidRPr="00E25C82">
        <w:rPr>
          <w:szCs w:val="20"/>
        </w:rPr>
        <w:t xml:space="preserve"> acid, </w:t>
      </w:r>
      <w:proofErr w:type="spellStart"/>
      <w:r w:rsidRPr="00E25C82">
        <w:rPr>
          <w:szCs w:val="20"/>
        </w:rPr>
        <w:t>Fenibut</w:t>
      </w:r>
      <w:proofErr w:type="spellEnd"/>
      <w:r w:rsidRPr="00E25C82">
        <w:rPr>
          <w:szCs w:val="20"/>
        </w:rPr>
        <w:t xml:space="preserve">, </w:t>
      </w:r>
      <w:proofErr w:type="spellStart"/>
      <w:r>
        <w:rPr>
          <w:szCs w:val="20"/>
        </w:rPr>
        <w:t>Anvifen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Noofen</w:t>
      </w:r>
      <w:proofErr w:type="spellEnd"/>
      <w:r>
        <w:rPr>
          <w:szCs w:val="20"/>
        </w:rPr>
        <w:t xml:space="preserve">, </w:t>
      </w:r>
      <w:proofErr w:type="spellStart"/>
      <w:r w:rsidRPr="00E25C82">
        <w:rPr>
          <w:szCs w:val="20"/>
        </w:rPr>
        <w:t>Fenigam</w:t>
      </w:r>
      <w:proofErr w:type="spellEnd"/>
      <w:r w:rsidRPr="00E25C82">
        <w:rPr>
          <w:szCs w:val="20"/>
        </w:rPr>
        <w:t xml:space="preserve">, </w:t>
      </w:r>
      <w:proofErr w:type="spellStart"/>
      <w:r w:rsidRPr="00E25C82">
        <w:rPr>
          <w:szCs w:val="20"/>
        </w:rPr>
        <w:t>Phenigam</w:t>
      </w:r>
      <w:proofErr w:type="spellEnd"/>
      <w:r w:rsidRPr="00E25C82">
        <w:rPr>
          <w:szCs w:val="20"/>
        </w:rPr>
        <w:t xml:space="preserve">, </w:t>
      </w:r>
      <w:proofErr w:type="spellStart"/>
      <w:r w:rsidRPr="00E25C82">
        <w:rPr>
          <w:szCs w:val="20"/>
        </w:rPr>
        <w:t>Phenybut</w:t>
      </w:r>
      <w:proofErr w:type="spellEnd"/>
      <w:r w:rsidRPr="00E25C82">
        <w:rPr>
          <w:szCs w:val="20"/>
        </w:rPr>
        <w:t xml:space="preserve">, </w:t>
      </w:r>
      <w:proofErr w:type="spellStart"/>
      <w:r w:rsidRPr="00E25C82">
        <w:rPr>
          <w:szCs w:val="20"/>
        </w:rPr>
        <w:t>Phenygam</w:t>
      </w:r>
      <w:proofErr w:type="spellEnd"/>
      <w:r w:rsidRPr="00E25C82">
        <w:rPr>
          <w:szCs w:val="20"/>
        </w:rPr>
        <w:t xml:space="preserve">, </w:t>
      </w:r>
      <w:proofErr w:type="spellStart"/>
      <w:r w:rsidRPr="00E25C82">
        <w:rPr>
          <w:szCs w:val="20"/>
        </w:rPr>
        <w:t>Phenylgamma</w:t>
      </w:r>
      <w:proofErr w:type="spellEnd"/>
      <w:r w:rsidRPr="00E25C82">
        <w:rPr>
          <w:szCs w:val="20"/>
        </w:rPr>
        <w:t xml:space="preserve">, </w:t>
      </w:r>
      <w:proofErr w:type="spellStart"/>
      <w:r w:rsidRPr="00E25C82">
        <w:rPr>
          <w:color w:val="000000"/>
          <w:szCs w:val="20"/>
        </w:rPr>
        <w:t>Phenigama</w:t>
      </w:r>
      <w:proofErr w:type="spellEnd"/>
      <w:r w:rsidRPr="00E25C82">
        <w:rPr>
          <w:color w:val="000000"/>
          <w:szCs w:val="20"/>
        </w:rPr>
        <w:t xml:space="preserve">, PHG; </w:t>
      </w:r>
      <w:proofErr w:type="spellStart"/>
      <w:r w:rsidRPr="00E25C82">
        <w:rPr>
          <w:color w:val="000000"/>
          <w:szCs w:val="20"/>
        </w:rPr>
        <w:t>PhGABA</w:t>
      </w:r>
      <w:proofErr w:type="spellEnd"/>
      <w:r w:rsidRPr="00E25C82">
        <w:rPr>
          <w:color w:val="000000"/>
          <w:szCs w:val="20"/>
        </w:rPr>
        <w:t>, β-Phenyl-γ-aminobutyric acid,</w:t>
      </w:r>
      <w:r w:rsidR="004D56C8">
        <w:rPr>
          <w:color w:val="000000"/>
          <w:szCs w:val="20"/>
        </w:rPr>
        <w:t xml:space="preserve"> or</w:t>
      </w:r>
      <w:r w:rsidRPr="00E25C82">
        <w:rPr>
          <w:color w:val="000000"/>
          <w:szCs w:val="20"/>
        </w:rPr>
        <w:t xml:space="preserve"> β-Phenyl-GABA</w:t>
      </w:r>
      <w:r w:rsidRPr="00E25C82">
        <w:rPr>
          <w:szCs w:val="20"/>
        </w:rPr>
        <w:t xml:space="preserve"> in any form.</w:t>
      </w:r>
    </w:p>
    <w:p w14:paraId="512B6E4E" w14:textId="1B3A8D99" w:rsidR="00194F89" w:rsidRDefault="00553EDE" w:rsidP="00194F89">
      <w:pPr>
        <w:pStyle w:val="EndoText"/>
        <w:widowControl/>
        <w:suppressAutoHyphens/>
        <w:spacing w:after="120"/>
        <w:ind w:left="360" w:hanging="360"/>
        <w:jc w:val="both"/>
      </w:pPr>
      <w:r w:rsidRPr="00553EDE">
        <w:rPr>
          <w:b/>
        </w:rPr>
        <w:t>1</w:t>
      </w:r>
      <w:r w:rsidR="00982C29">
        <w:rPr>
          <w:b/>
        </w:rPr>
        <w:t>7</w:t>
      </w:r>
      <w:r w:rsidRPr="00553EDE">
        <w:rPr>
          <w:b/>
        </w:rPr>
        <w:t>.</w:t>
      </w:r>
      <w:r w:rsidRPr="000B3D4B">
        <w:tab/>
        <w:t>Natural anabolic steroids</w:t>
      </w:r>
      <w:r w:rsidR="00B268A0">
        <w:t>,</w:t>
      </w:r>
      <w:r w:rsidR="00757945">
        <w:t xml:space="preserve"> </w:t>
      </w:r>
      <w:r w:rsidRPr="000B3D4B">
        <w:t>synthetic anabolic steroids</w:t>
      </w:r>
      <w:r w:rsidR="00B268A0">
        <w:t>,</w:t>
      </w:r>
      <w:r w:rsidR="00D136E6">
        <w:t xml:space="preserve"> steroid </w:t>
      </w:r>
      <w:r w:rsidR="00A51AE3">
        <w:t>precursors</w:t>
      </w:r>
      <w:r w:rsidR="00982C29">
        <w:t>, or prohormones in any form</w:t>
      </w:r>
      <w:r w:rsidRPr="000B3D4B">
        <w:t>.</w:t>
      </w:r>
    </w:p>
    <w:p w14:paraId="0A337CCF" w14:textId="70FE517B" w:rsidR="00194F89" w:rsidRPr="00194F89" w:rsidRDefault="00194F89" w:rsidP="00194F89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lastRenderedPageBreak/>
        <w:t>1</w:t>
      </w:r>
      <w:r w:rsidR="00982C29">
        <w:rPr>
          <w:b/>
        </w:rPr>
        <w:t>8</w:t>
      </w:r>
      <w:r>
        <w:rPr>
          <w:b/>
        </w:rPr>
        <w:t>.</w:t>
      </w:r>
      <w:r>
        <w:rPr>
          <w:b/>
        </w:rPr>
        <w:tab/>
      </w:r>
      <w:r>
        <w:t xml:space="preserve">DMHA, </w:t>
      </w:r>
      <w:proofErr w:type="spellStart"/>
      <w:r>
        <w:t>Dimethylhexylamine</w:t>
      </w:r>
      <w:proofErr w:type="spellEnd"/>
      <w:r>
        <w:t xml:space="preserve">, </w:t>
      </w:r>
      <w:proofErr w:type="spellStart"/>
      <w:r>
        <w:t>Methylheptane</w:t>
      </w:r>
      <w:proofErr w:type="spellEnd"/>
      <w:r>
        <w:t xml:space="preserve">, </w:t>
      </w:r>
      <w:proofErr w:type="spellStart"/>
      <w:r>
        <w:t>Isooctylamine</w:t>
      </w:r>
      <w:proofErr w:type="spellEnd"/>
      <w:r>
        <w:t xml:space="preserve">, </w:t>
      </w:r>
      <w:proofErr w:type="spellStart"/>
      <w:r>
        <w:t>Aminoisoheptane</w:t>
      </w:r>
      <w:proofErr w:type="spellEnd"/>
      <w:r>
        <w:t xml:space="preserve">, </w:t>
      </w:r>
      <w:proofErr w:type="spellStart"/>
      <w:r>
        <w:t>Amidrine</w:t>
      </w:r>
      <w:proofErr w:type="spellEnd"/>
      <w:r>
        <w:t xml:space="preserve">, </w:t>
      </w:r>
      <w:proofErr w:type="spellStart"/>
      <w:r>
        <w:t>Octodrine</w:t>
      </w:r>
      <w:proofErr w:type="spellEnd"/>
      <w:r>
        <w:t xml:space="preserve">, or </w:t>
      </w:r>
      <w:proofErr w:type="spellStart"/>
      <w:r>
        <w:t>Vaporpac</w:t>
      </w:r>
      <w:proofErr w:type="spellEnd"/>
      <w:r w:rsidRPr="00E25C82">
        <w:rPr>
          <w:szCs w:val="20"/>
        </w:rPr>
        <w:t xml:space="preserve"> in any form.</w:t>
      </w:r>
    </w:p>
    <w:p w14:paraId="7447B5D6" w14:textId="77777777" w:rsidR="00B268A0" w:rsidRDefault="00B268A0" w:rsidP="00194F89">
      <w:pPr>
        <w:pStyle w:val="EndoText"/>
        <w:widowControl/>
        <w:suppressAutoHyphens/>
        <w:spacing w:after="120"/>
        <w:ind w:left="360" w:hanging="360"/>
        <w:jc w:val="both"/>
      </w:pPr>
      <w:r>
        <w:t>This exclusion applies whether the ingredient is:</w:t>
      </w:r>
    </w:p>
    <w:p w14:paraId="71FECB5A" w14:textId="0F458D26" w:rsidR="00B268A0" w:rsidRDefault="005B1E31" w:rsidP="00194F89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a</w:t>
      </w:r>
      <w:r w:rsidR="00B268A0">
        <w:rPr>
          <w:b/>
        </w:rPr>
        <w:t>.</w:t>
      </w:r>
      <w:r w:rsidR="00B268A0">
        <w:rPr>
          <w:b/>
        </w:rPr>
        <w:tab/>
      </w:r>
      <w:r w:rsidR="005C3DEF">
        <w:t>T</w:t>
      </w:r>
      <w:r w:rsidR="00B268A0">
        <w:t>he primary ingredient or combin</w:t>
      </w:r>
      <w:r w:rsidR="005C3DEF">
        <w:t>ed</w:t>
      </w:r>
      <w:r w:rsidR="00B268A0">
        <w:t xml:space="preserve"> with other ingredients; </w:t>
      </w:r>
    </w:p>
    <w:p w14:paraId="56CC32E8" w14:textId="33EF338C" w:rsidR="00B268A0" w:rsidRDefault="005B1E31" w:rsidP="00194F89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b</w:t>
      </w:r>
      <w:r w:rsidR="00B268A0">
        <w:rPr>
          <w:b/>
        </w:rPr>
        <w:t>.</w:t>
      </w:r>
      <w:r w:rsidR="00B268A0">
        <w:rPr>
          <w:b/>
        </w:rPr>
        <w:tab/>
      </w:r>
      <w:r w:rsidR="00B268A0">
        <w:t xml:space="preserve">An extract or derivative; </w:t>
      </w:r>
    </w:p>
    <w:p w14:paraId="72C9C7D1" w14:textId="66B08719" w:rsidR="00B268A0" w:rsidRDefault="005B1E31" w:rsidP="00194F89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c</w:t>
      </w:r>
      <w:r w:rsidR="00B268A0">
        <w:rPr>
          <w:b/>
        </w:rPr>
        <w:t>.</w:t>
      </w:r>
      <w:r w:rsidR="00B268A0">
        <w:rPr>
          <w:b/>
        </w:rPr>
        <w:tab/>
      </w:r>
      <w:r w:rsidR="00B268A0">
        <w:t xml:space="preserve">A synthetic or cloned version; or </w:t>
      </w:r>
    </w:p>
    <w:p w14:paraId="42039F73" w14:textId="39B18C8F" w:rsidR="00194F89" w:rsidRPr="000B3D4B" w:rsidRDefault="005B1E31" w:rsidP="00194F89">
      <w:pPr>
        <w:pStyle w:val="EndoText"/>
        <w:widowControl/>
        <w:suppressAutoHyphens/>
        <w:spacing w:after="120"/>
        <w:ind w:left="360" w:hanging="360"/>
        <w:jc w:val="both"/>
      </w:pPr>
      <w:r>
        <w:rPr>
          <w:b/>
        </w:rPr>
        <w:t>d</w:t>
      </w:r>
      <w:r w:rsidR="00B268A0">
        <w:rPr>
          <w:b/>
        </w:rPr>
        <w:t>.</w:t>
      </w:r>
      <w:r w:rsidR="00B268A0">
        <w:rPr>
          <w:b/>
        </w:rPr>
        <w:tab/>
      </w:r>
      <w:r w:rsidR="00B268A0">
        <w:t>Marketed under the name(s) listed above or any other name</w:t>
      </w:r>
      <w:r w:rsidR="005D30FF">
        <w:t>.</w:t>
      </w:r>
    </w:p>
    <w:p w14:paraId="2008E8CE" w14:textId="77777777" w:rsidR="001661E2" w:rsidRDefault="001661E2" w:rsidP="001661E2">
      <w:pPr>
        <w:pStyle w:val="EndoText"/>
        <w:widowControl/>
        <w:suppressAutoHyphens/>
        <w:spacing w:after="120"/>
        <w:ind w:left="360" w:hanging="360"/>
        <w:jc w:val="both"/>
      </w:pPr>
    </w:p>
    <w:p w14:paraId="10D7DB24" w14:textId="77777777" w:rsidR="00EA0C9E" w:rsidRDefault="00EA0C9E" w:rsidP="001661E2">
      <w:pPr>
        <w:pStyle w:val="EndoText"/>
        <w:widowControl/>
        <w:suppressAutoHyphens/>
        <w:spacing w:after="120"/>
        <w:ind w:left="360" w:hanging="360"/>
        <w:jc w:val="both"/>
      </w:pPr>
    </w:p>
    <w:p w14:paraId="43FE9F50" w14:textId="77777777" w:rsidR="006B2BAD" w:rsidRDefault="006B2BAD" w:rsidP="001661E2">
      <w:pPr>
        <w:pStyle w:val="EndoText"/>
        <w:widowControl/>
        <w:suppressAutoHyphens/>
        <w:spacing w:after="120"/>
        <w:ind w:left="360" w:hanging="360"/>
        <w:jc w:val="both"/>
      </w:pPr>
      <w:r>
        <w:t>All other terms and conditions remain unchanged.</w:t>
      </w:r>
    </w:p>
    <w:sectPr w:rsidR="006B2BAD" w:rsidSect="00905083">
      <w:footerReference w:type="default" r:id="rId11"/>
      <w:pgSz w:w="12240" w:h="15840" w:code="1"/>
      <w:pgMar w:top="720" w:right="720" w:bottom="144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1E260" w14:textId="77777777" w:rsidR="009B7274" w:rsidRDefault="009B7274">
      <w:r>
        <w:separator/>
      </w:r>
    </w:p>
  </w:endnote>
  <w:endnote w:type="continuationSeparator" w:id="0">
    <w:p w14:paraId="5532623B" w14:textId="77777777" w:rsidR="009B7274" w:rsidRDefault="009B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6030"/>
      <w:gridCol w:w="4770"/>
    </w:tblGrid>
    <w:tr w:rsidR="009B7274" w:rsidRPr="00364955" w14:paraId="0A50A807" w14:textId="77777777" w:rsidTr="00CA2C57">
      <w:tc>
        <w:tcPr>
          <w:tcW w:w="6030" w:type="dxa"/>
          <w:shd w:val="clear" w:color="auto" w:fill="auto"/>
        </w:tcPr>
        <w:p w14:paraId="5F610B83" w14:textId="06ADB922" w:rsidR="009B7274" w:rsidRPr="00364955" w:rsidRDefault="009B7274" w:rsidP="00A51AE3">
          <w:pPr>
            <w:pStyle w:val="Endo1"/>
            <w:tabs>
              <w:tab w:val="clear" w:pos="7848"/>
              <w:tab w:val="clear" w:pos="8208"/>
              <w:tab w:val="right" w:pos="10800"/>
            </w:tabs>
            <w:rPr>
              <w:b/>
            </w:rPr>
          </w:pPr>
          <w:r w:rsidRPr="00364955">
            <w:rPr>
              <w:b/>
            </w:rPr>
            <w:t xml:space="preserve">MEIL 1317 </w:t>
          </w:r>
          <w:r w:rsidR="00060B6B" w:rsidRPr="00A6380C">
            <w:rPr>
              <w:b/>
              <w:color w:val="000000" w:themeColor="text1"/>
            </w:rPr>
            <w:t>0</w:t>
          </w:r>
          <w:r w:rsidR="00A51AE3" w:rsidRPr="00A6380C">
            <w:rPr>
              <w:b/>
              <w:color w:val="000000" w:themeColor="text1"/>
            </w:rPr>
            <w:t>3</w:t>
          </w:r>
          <w:r w:rsidR="00060B6B" w:rsidRPr="00A6380C">
            <w:rPr>
              <w:b/>
              <w:color w:val="000000" w:themeColor="text1"/>
            </w:rPr>
            <w:t xml:space="preserve"> </w:t>
          </w:r>
          <w:r w:rsidR="00A51AE3" w:rsidRPr="00A6380C">
            <w:rPr>
              <w:b/>
              <w:color w:val="000000" w:themeColor="text1"/>
            </w:rPr>
            <w:t>20</w:t>
          </w:r>
        </w:p>
      </w:tc>
      <w:tc>
        <w:tcPr>
          <w:tcW w:w="4770" w:type="dxa"/>
          <w:shd w:val="clear" w:color="auto" w:fill="auto"/>
        </w:tcPr>
        <w:p w14:paraId="29039AA6" w14:textId="77777777" w:rsidR="009B7274" w:rsidRPr="00364955" w:rsidRDefault="009B7274" w:rsidP="00364955">
          <w:pPr>
            <w:pStyle w:val="Endo1"/>
            <w:tabs>
              <w:tab w:val="clear" w:pos="7848"/>
              <w:tab w:val="clear" w:pos="8208"/>
              <w:tab w:val="right" w:pos="10800"/>
            </w:tabs>
            <w:jc w:val="right"/>
            <w:rPr>
              <w:b/>
            </w:rPr>
          </w:pPr>
          <w:r w:rsidRPr="00364955">
            <w:rPr>
              <w:b/>
            </w:rPr>
            <w:t xml:space="preserve">Page </w:t>
          </w:r>
          <w:r w:rsidRPr="00364955">
            <w:rPr>
              <w:b/>
            </w:rPr>
            <w:fldChar w:fldCharType="begin"/>
          </w:r>
          <w:r w:rsidRPr="00364955">
            <w:rPr>
              <w:b/>
            </w:rPr>
            <w:instrText xml:space="preserve"> PAGE  \* Arabic  \* MERGEFORMAT </w:instrText>
          </w:r>
          <w:r w:rsidRPr="00364955">
            <w:rPr>
              <w:b/>
            </w:rPr>
            <w:fldChar w:fldCharType="separate"/>
          </w:r>
          <w:r w:rsidR="00482B6B">
            <w:rPr>
              <w:b/>
              <w:noProof/>
            </w:rPr>
            <w:t>2</w:t>
          </w:r>
          <w:r w:rsidRPr="00364955">
            <w:rPr>
              <w:b/>
            </w:rPr>
            <w:fldChar w:fldCharType="end"/>
          </w:r>
          <w:r w:rsidRPr="00364955">
            <w:rPr>
              <w:b/>
            </w:rPr>
            <w:t xml:space="preserve"> of </w:t>
          </w:r>
          <w:r w:rsidRPr="00364955">
            <w:rPr>
              <w:b/>
            </w:rPr>
            <w:fldChar w:fldCharType="begin"/>
          </w:r>
          <w:r w:rsidRPr="00364955">
            <w:rPr>
              <w:b/>
            </w:rPr>
            <w:instrText xml:space="preserve"> NUMPAGES  \* Arabic  \* MERGEFORMAT </w:instrText>
          </w:r>
          <w:r w:rsidRPr="00364955">
            <w:rPr>
              <w:b/>
            </w:rPr>
            <w:fldChar w:fldCharType="separate"/>
          </w:r>
          <w:r w:rsidR="00482B6B">
            <w:rPr>
              <w:b/>
              <w:noProof/>
            </w:rPr>
            <w:t>2</w:t>
          </w:r>
          <w:r w:rsidRPr="00364955">
            <w:rPr>
              <w:b/>
            </w:rPr>
            <w:fldChar w:fldCharType="end"/>
          </w:r>
        </w:p>
      </w:tc>
    </w:tr>
  </w:tbl>
  <w:p w14:paraId="534AC03A" w14:textId="77777777" w:rsidR="009B7274" w:rsidRDefault="009B7274" w:rsidP="00364955">
    <w:pPr>
      <w:pStyle w:val="Endo1"/>
      <w:tabs>
        <w:tab w:val="clear" w:pos="7848"/>
        <w:tab w:val="clear" w:pos="8208"/>
        <w:tab w:val="right" w:pos="10800"/>
      </w:tabs>
      <w:rPr>
        <w:rStyle w:val="EndoTextChar"/>
        <w:b/>
        <w:sz w:val="20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C0420" w14:textId="77777777" w:rsidR="009B7274" w:rsidRDefault="009B7274">
      <w:r>
        <w:separator/>
      </w:r>
    </w:p>
  </w:footnote>
  <w:footnote w:type="continuationSeparator" w:id="0">
    <w:p w14:paraId="1BAF1762" w14:textId="77777777" w:rsidR="009B7274" w:rsidRDefault="009B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6604C"/>
    <w:multiLevelType w:val="multilevel"/>
    <w:tmpl w:val="C574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0400C15"/>
    <w:multiLevelType w:val="multilevel"/>
    <w:tmpl w:val="C574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BqnLfWEoTeSBNB38a6mLIPS7XAtZJR3iNGVbJ8enMkDLaZu+Xj/EqD09WuSftOZDLEqZxiXwzf6n3vBWv/TtGg==" w:salt="ocAmu9EdXerMtydYYX8/dA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 Date IL" w:val="06/13/2000"/>
    <w:docVar w:name="Application Time IL" w:val="13374800"/>
    <w:docVar w:name="Broker ID IL" w:val="32850"/>
    <w:docVar w:name="Policy # IL" w:val="XX000000"/>
    <w:docVar w:name="Policy Inception Date IL" w:val="07/01/2000"/>
    <w:docVar w:name="Product Line IL" w:val="SK"/>
    <w:docVar w:name="Risk ID IL" w:val="3158425"/>
    <w:docVar w:name="Risk Name IL" w:val="EIC SAMPLE DOCUMENTS"/>
    <w:docVar w:name="SavePrompt" w:val="True"/>
    <w:docVar w:name="Submission Status IL" w:val="N"/>
    <w:docVar w:name="Team IL" w:val="Markel Midwest"/>
    <w:docVar w:name="Underwriter IL" w:val="PSABO"/>
  </w:docVars>
  <w:rsids>
    <w:rsidRoot w:val="00970CD6"/>
    <w:rsid w:val="000433FD"/>
    <w:rsid w:val="00060B6B"/>
    <w:rsid w:val="00060FFF"/>
    <w:rsid w:val="000F2722"/>
    <w:rsid w:val="00144012"/>
    <w:rsid w:val="001517F2"/>
    <w:rsid w:val="00160AC4"/>
    <w:rsid w:val="001661E2"/>
    <w:rsid w:val="001948C2"/>
    <w:rsid w:val="00194F89"/>
    <w:rsid w:val="001F09C4"/>
    <w:rsid w:val="0023242F"/>
    <w:rsid w:val="00242FE1"/>
    <w:rsid w:val="00281235"/>
    <w:rsid w:val="002E6DEF"/>
    <w:rsid w:val="002E7AE1"/>
    <w:rsid w:val="00362931"/>
    <w:rsid w:val="00364955"/>
    <w:rsid w:val="0037016E"/>
    <w:rsid w:val="003709EF"/>
    <w:rsid w:val="00370E14"/>
    <w:rsid w:val="00380B51"/>
    <w:rsid w:val="00402217"/>
    <w:rsid w:val="004128C1"/>
    <w:rsid w:val="00425F7D"/>
    <w:rsid w:val="00482B6B"/>
    <w:rsid w:val="004967CE"/>
    <w:rsid w:val="004B7355"/>
    <w:rsid w:val="004D56C8"/>
    <w:rsid w:val="004D5B4E"/>
    <w:rsid w:val="004F32A9"/>
    <w:rsid w:val="004F3D62"/>
    <w:rsid w:val="00553EDE"/>
    <w:rsid w:val="0055577B"/>
    <w:rsid w:val="00573FD2"/>
    <w:rsid w:val="00582DE7"/>
    <w:rsid w:val="005B1E31"/>
    <w:rsid w:val="005B291C"/>
    <w:rsid w:val="005C3DEF"/>
    <w:rsid w:val="005D30FF"/>
    <w:rsid w:val="006663D6"/>
    <w:rsid w:val="006B2BAD"/>
    <w:rsid w:val="006C081C"/>
    <w:rsid w:val="006D0C63"/>
    <w:rsid w:val="0070742A"/>
    <w:rsid w:val="00757945"/>
    <w:rsid w:val="007A1C2B"/>
    <w:rsid w:val="007A4ED0"/>
    <w:rsid w:val="007A76A2"/>
    <w:rsid w:val="007B3688"/>
    <w:rsid w:val="007C3139"/>
    <w:rsid w:val="0088295E"/>
    <w:rsid w:val="008B2653"/>
    <w:rsid w:val="008E6A9B"/>
    <w:rsid w:val="008F500C"/>
    <w:rsid w:val="00905083"/>
    <w:rsid w:val="009172BA"/>
    <w:rsid w:val="00970CD6"/>
    <w:rsid w:val="00977912"/>
    <w:rsid w:val="00977927"/>
    <w:rsid w:val="00982C29"/>
    <w:rsid w:val="00984398"/>
    <w:rsid w:val="009A08E8"/>
    <w:rsid w:val="009B7274"/>
    <w:rsid w:val="009D530F"/>
    <w:rsid w:val="009E3D8D"/>
    <w:rsid w:val="00A335AC"/>
    <w:rsid w:val="00A51AE3"/>
    <w:rsid w:val="00A6380C"/>
    <w:rsid w:val="00AC7B63"/>
    <w:rsid w:val="00B268A0"/>
    <w:rsid w:val="00B31880"/>
    <w:rsid w:val="00B3297C"/>
    <w:rsid w:val="00B534B9"/>
    <w:rsid w:val="00B57FDD"/>
    <w:rsid w:val="00BA1D35"/>
    <w:rsid w:val="00BB35E1"/>
    <w:rsid w:val="00C12005"/>
    <w:rsid w:val="00C46802"/>
    <w:rsid w:val="00C55F29"/>
    <w:rsid w:val="00CA2C57"/>
    <w:rsid w:val="00CF6E7B"/>
    <w:rsid w:val="00D07953"/>
    <w:rsid w:val="00D136E6"/>
    <w:rsid w:val="00D20B9A"/>
    <w:rsid w:val="00D357F8"/>
    <w:rsid w:val="00D46323"/>
    <w:rsid w:val="00D72AAE"/>
    <w:rsid w:val="00DF048B"/>
    <w:rsid w:val="00DF5F04"/>
    <w:rsid w:val="00E25C82"/>
    <w:rsid w:val="00E26FF2"/>
    <w:rsid w:val="00E83512"/>
    <w:rsid w:val="00E912EA"/>
    <w:rsid w:val="00EA0C9E"/>
    <w:rsid w:val="00EB6F1F"/>
    <w:rsid w:val="00F132D2"/>
    <w:rsid w:val="00F607CD"/>
    <w:rsid w:val="00F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8624AC3"/>
  <w15:docId w15:val="{70C9D4CB-B8ED-47DB-BF66-45D61FD5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/>
      <w:b/>
      <w:kern w:val="32"/>
      <w:sz w:val="32"/>
    </w:rPr>
  </w:style>
  <w:style w:type="paragraph" w:styleId="EnvelopeReturn">
    <w:name w:val="envelope return"/>
    <w:basedOn w:val="Normal"/>
    <w:uiPriority w:val="99"/>
    <w:rPr>
      <w:rFonts w:ascii="Arial" w:hAnsi="Arial"/>
      <w:sz w:val="24"/>
    </w:rPr>
  </w:style>
  <w:style w:type="paragraph" w:customStyle="1" w:styleId="AppFooter">
    <w:name w:val=". App Footer"/>
    <w:uiPriority w:val="99"/>
    <w:pPr>
      <w:tabs>
        <w:tab w:val="right" w:pos="10800"/>
      </w:tabs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semiHidden/>
    <w:locked/>
    <w:rPr>
      <w:sz w:val="20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EndoText">
    <w:name w:val=".Endo Text"/>
    <w:link w:val="EndoText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Cs w:val="19"/>
    </w:rPr>
  </w:style>
  <w:style w:type="character" w:customStyle="1" w:styleId="EndoTextChar">
    <w:name w:val=".Endo Text Char"/>
    <w:link w:val="EndoText"/>
    <w:uiPriority w:val="99"/>
    <w:locked/>
    <w:rPr>
      <w:rFonts w:ascii="Arial" w:hAnsi="Arial"/>
      <w:sz w:val="19"/>
      <w:lang w:val="en-US" w:eastAsia="en-US"/>
    </w:rPr>
  </w:style>
  <w:style w:type="paragraph" w:customStyle="1" w:styleId="EndoHead">
    <w:name w:val=".Endo Head"/>
    <w:basedOn w:val="Normal"/>
    <w:uiPriority w:val="99"/>
    <w:pPr>
      <w:jc w:val="right"/>
    </w:pPr>
    <w:rPr>
      <w:rFonts w:ascii="Arial" w:hAnsi="Arial" w:cs="Arial"/>
      <w:spacing w:val="-2"/>
      <w:kern w:val="2"/>
    </w:rPr>
  </w:style>
  <w:style w:type="paragraph" w:customStyle="1" w:styleId="Endo1">
    <w:name w:val=".Endo1"/>
    <w:uiPriority w:val="99"/>
    <w:pPr>
      <w:tabs>
        <w:tab w:val="left" w:pos="-432"/>
        <w:tab w:val="right" w:pos="7848"/>
        <w:tab w:val="left" w:pos="8208"/>
      </w:tabs>
      <w:suppressAutoHyphens/>
    </w:pPr>
    <w:rPr>
      <w:rFonts w:ascii="Arial" w:hAnsi="Arial" w:cs="Arial"/>
      <w:spacing w:val="-3"/>
      <w:kern w:val="2"/>
    </w:rPr>
  </w:style>
  <w:style w:type="character" w:styleId="Hyperlink">
    <w:name w:val="Hyperlink"/>
    <w:uiPriority w:val="99"/>
    <w:rsid w:val="002E6DEF"/>
    <w:rPr>
      <w:rFonts w:cs="Times New Roman"/>
      <w:color w:val="0000FF"/>
      <w:u w:val="single"/>
    </w:rPr>
  </w:style>
  <w:style w:type="character" w:customStyle="1" w:styleId="Normal-WordingChar">
    <w:name w:val="Normal-Wording Char"/>
    <w:link w:val="Normal-Wording"/>
    <w:locked/>
    <w:rsid w:val="00CF6E7B"/>
    <w:rPr>
      <w:rFonts w:ascii="Arial" w:hAnsi="Arial" w:cs="Arial"/>
      <w:spacing w:val="-2"/>
      <w:lang w:val="en-US" w:eastAsia="en-US" w:bidi="ar-SA"/>
    </w:rPr>
  </w:style>
  <w:style w:type="paragraph" w:customStyle="1" w:styleId="Normal-Wording">
    <w:name w:val="Normal-Wording"/>
    <w:link w:val="Normal-WordingChar"/>
    <w:rsid w:val="00CF6E7B"/>
    <w:pPr>
      <w:tabs>
        <w:tab w:val="left" w:pos="-720"/>
      </w:tabs>
      <w:suppressAutoHyphens/>
      <w:spacing w:after="120"/>
      <w:jc w:val="both"/>
    </w:pPr>
    <w:rPr>
      <w:rFonts w:ascii="Arial" w:hAnsi="Arial" w:cs="Arial"/>
      <w:spacing w:val="-2"/>
    </w:rPr>
  </w:style>
  <w:style w:type="character" w:styleId="CommentReference">
    <w:name w:val="annotation reference"/>
    <w:uiPriority w:val="99"/>
    <w:semiHidden/>
    <w:unhideWhenUsed/>
    <w:rsid w:val="00757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9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9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9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9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79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6F1F"/>
  </w:style>
  <w:style w:type="character" w:customStyle="1" w:styleId="e24kjd">
    <w:name w:val="e24kjd"/>
    <w:basedOn w:val="DefaultParagraphFont"/>
    <w:rsid w:val="0098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CF2924FCF20408C374CE13CE05FD4" ma:contentTypeVersion="0" ma:contentTypeDescription="Create a new document." ma:contentTypeScope="" ma:versionID="5df48a8dddaf75b303d2abcf9931f23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8DEF7-2460-428F-BBFD-9C9BF8A3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CFCC7E-5763-486A-97B0-C0CFF9AE0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5B495-E477-4B8B-A878-44241EAD457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Shand Morahan &amp; Co.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msaunders</dc:creator>
  <cp:lastModifiedBy>Chougule, Jayakanta [ON CONTRACT]</cp:lastModifiedBy>
  <cp:revision>6</cp:revision>
  <cp:lastPrinted>2014-10-10T16:39:00Z</cp:lastPrinted>
  <dcterms:created xsi:type="dcterms:W3CDTF">2020-04-06T11:50:00Z</dcterms:created>
  <dcterms:modified xsi:type="dcterms:W3CDTF">2020-06-12T12:29:00Z</dcterms:modified>
</cp:coreProperties>
</file>